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Defaul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rPr>
          <w:b/>
        </w:rPr>
      </w:pPr>
      <w:r>
        <w:rPr>
          <w:b/>
        </w:rPr>
        <w:t xml:space="preserve">Executive Pay Statement 2024-2025: </w:t>
      </w:r>
    </w:p>
    <w:p>
      <w:pPr>
        <w:rPr>
          <w:b/>
        </w:rPr>
      </w:pPr>
    </w:p>
    <w:p>
      <w:r>
        <w:t>Employees whose benefits exceeded £100k for the year ending 31st August 2025 (including employer’s pension contributions)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812"/>
      </w:tblGrid>
      <w:tr>
        <w:tc>
          <w:tcPr>
            <w:tcW w:w="3397" w:type="dxa"/>
          </w:tcPr>
          <w:p/>
        </w:tc>
        <w:tc>
          <w:tcPr>
            <w:tcW w:w="5812" w:type="dxa"/>
          </w:tcPr>
          <w:p>
            <w:pPr>
              <w:jc w:val="center"/>
            </w:pPr>
            <w:r>
              <w:t>1 Sept 2024 – 31 Aug 2025</w:t>
            </w:r>
          </w:p>
        </w:tc>
      </w:tr>
      <w:tr>
        <w:tc>
          <w:tcPr>
            <w:tcW w:w="3397" w:type="dxa"/>
          </w:tcPr>
          <w:p>
            <w:r>
              <w:t>In the band £100,000 to £110,000</w:t>
            </w:r>
          </w:p>
        </w:tc>
        <w:tc>
          <w:tcPr>
            <w:tcW w:w="5812" w:type="dxa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w="3397" w:type="dxa"/>
          </w:tcPr>
          <w:p>
            <w:r>
              <w:t>In the band £110,000 to £120,000</w:t>
            </w:r>
          </w:p>
        </w:tc>
        <w:tc>
          <w:tcPr>
            <w:tcW w:w="5812" w:type="dxa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w="3397" w:type="dxa"/>
          </w:tcPr>
          <w:p>
            <w:r>
              <w:t>In the band £120,000 to £130,000</w:t>
            </w:r>
          </w:p>
        </w:tc>
        <w:tc>
          <w:tcPr>
            <w:tcW w:w="5812" w:type="dxa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w="3397" w:type="dxa"/>
          </w:tcPr>
          <w:p>
            <w:r>
              <w:t>In the band £130,000 to £140,000</w:t>
            </w:r>
          </w:p>
        </w:tc>
        <w:tc>
          <w:tcPr>
            <w:tcW w:w="5812" w:type="dxa"/>
          </w:tcPr>
          <w:p>
            <w:pPr>
              <w:jc w:val="center"/>
            </w:pPr>
            <w:r>
              <w:t>2</w:t>
            </w:r>
          </w:p>
        </w:tc>
      </w:tr>
    </w:tbl>
    <w:p/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</w:p>
    <w:p>
      <w:pPr>
        <w:jc w:val="both"/>
        <w:rPr>
          <w:rFonts w:eastAsia="Calibri" w:cstheme="minorHAnsi"/>
          <w:noProof/>
        </w:rPr>
      </w:pPr>
      <w:r>
        <w:rPr>
          <w:rFonts w:eastAsia="Calibri" w:cstheme="minorHAnsi"/>
        </w:rPr>
        <w:t>We want all at SHS to believe in and maintain the values of our school:</w:t>
      </w:r>
    </w:p>
    <w:p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noProof/>
          <w:sz w:val="22"/>
          <w:szCs w:val="22"/>
          <w:lang w:eastAsia="en-GB"/>
        </w:rPr>
        <w:drawing>
          <wp:inline distT="0" distB="0" distL="0" distR="0">
            <wp:extent cx="5867400" cy="8096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7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w:type="default" r:id="rId8"/>
      <w:footerReference w:type="default" r:id="rId9"/>
      <w:pgSz w:w="11906" w:h="17338"/>
      <w:pgMar w:top="993" w:right="127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jc w:val="center"/>
    </w:pPr>
  </w:p>
  <w:p>
    <w:pPr>
      <w:pStyle w:val="Footer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spacing w:after="0"/>
      <w:rPr>
        <w:b/>
      </w:rPr>
    </w:pPr>
    <w:r>
      <w:rPr>
        <w:rFonts w:eastAsiaTheme="minorHAnsi"/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-443865</wp:posOffset>
          </wp:positionH>
          <wp:positionV relativeFrom="paragraph">
            <wp:posOffset>-66675</wp:posOffset>
          </wp:positionV>
          <wp:extent cx="809625" cy="781050"/>
          <wp:effectExtent l="0" t="0" r="9525" b="0"/>
          <wp:wrapTight wrapText="bothSides">
            <wp:wrapPolygon edited="0">
              <wp:start x="0" y="0"/>
              <wp:lineTo x="0" y="21073"/>
              <wp:lineTo x="21346" y="21073"/>
              <wp:lineTo x="2134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SHIRLEY HIGH SCHOOL PERFORMING ARTS COLLEGE</w:t>
    </w:r>
  </w:p>
  <w:p>
    <w:pPr>
      <w:spacing w:after="0" w:line="240" w:lineRule="exact"/>
      <w:jc w:val="both"/>
      <w:rPr>
        <w:i/>
      </w:rPr>
    </w:pPr>
    <w:r>
      <w:rPr>
        <w:i/>
      </w:rPr>
      <w:t>Our Vision:</w:t>
    </w:r>
  </w:p>
  <w:p>
    <w:pPr>
      <w:spacing w:after="0" w:line="240" w:lineRule="exact"/>
      <w:jc w:val="both"/>
      <w:rPr>
        <w:i/>
      </w:rPr>
    </w:pPr>
    <w:r>
      <w:rPr>
        <w:i/>
      </w:rPr>
      <w:t>To develop aspirational learners who strive for excellence academically, creatively and culturally, benefitting from a wide range of opportunities led by inspirational educators.</w:t>
    </w:r>
  </w:p>
  <w:p>
    <w:pPr>
      <w:pStyle w:val="Header"/>
      <w:rPr>
        <w:sz w:val="16"/>
        <w:szCs w:val="16"/>
      </w:rPr>
    </w:pPr>
    <w:r>
      <w:tab/>
    </w:r>
    <w:r>
      <w:tab/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E61A69"/>
    <w:multiLevelType w:val="hybridMultilevel"/>
    <w:tmpl w:val="BF441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B3FB4"/>
    <w:multiLevelType w:val="hybridMultilevel"/>
    <w:tmpl w:val="1F741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03850"/>
    <w:multiLevelType w:val="hybridMultilevel"/>
    <w:tmpl w:val="0978B828"/>
    <w:lvl w:ilvl="0" w:tplc="BF92EEC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00D80"/>
    <w:multiLevelType w:val="hybridMultilevel"/>
    <w:tmpl w:val="24A2DCE8"/>
    <w:lvl w:ilvl="0" w:tplc="74E28E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B07375"/>
    <w:multiLevelType w:val="multilevel"/>
    <w:tmpl w:val="3998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E35E1B"/>
    <w:multiLevelType w:val="multilevel"/>
    <w:tmpl w:val="D5C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F008EB"/>
    <w:multiLevelType w:val="multilevel"/>
    <w:tmpl w:val="9DA66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ECC2349"/>
    <w:multiLevelType w:val="hybridMultilevel"/>
    <w:tmpl w:val="7450BD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14C35"/>
    <w:multiLevelType w:val="hybridMultilevel"/>
    <w:tmpl w:val="94E23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021699"/>
    <w:multiLevelType w:val="hybridMultilevel"/>
    <w:tmpl w:val="6422D97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C46A4B"/>
    <w:multiLevelType w:val="hybridMultilevel"/>
    <w:tmpl w:val="15942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71277"/>
    <w:multiLevelType w:val="multilevel"/>
    <w:tmpl w:val="39943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FEB0567"/>
    <w:multiLevelType w:val="hybridMultilevel"/>
    <w:tmpl w:val="CBCE2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F6F17"/>
    <w:multiLevelType w:val="hybridMultilevel"/>
    <w:tmpl w:val="4AEA6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812B4"/>
    <w:multiLevelType w:val="hybridMultilevel"/>
    <w:tmpl w:val="7ADA7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572404"/>
    <w:multiLevelType w:val="hybridMultilevel"/>
    <w:tmpl w:val="143A6256"/>
    <w:lvl w:ilvl="0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7602C56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35540BE0"/>
    <w:multiLevelType w:val="hybridMultilevel"/>
    <w:tmpl w:val="428EC0C2"/>
    <w:lvl w:ilvl="0" w:tplc="080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18" w15:restartNumberingAfterBreak="0">
    <w:nsid w:val="376C7113"/>
    <w:multiLevelType w:val="multilevel"/>
    <w:tmpl w:val="16284F82"/>
    <w:lvl w:ilvl="0">
      <w:start w:val="1"/>
      <w:numFmt w:val="decimal"/>
      <w:pStyle w:val="Sectionheading"/>
      <w:lvlText w:val="%1."/>
      <w:lvlJc w:val="left"/>
      <w:pPr>
        <w:ind w:left="900" w:hanging="360"/>
      </w:pPr>
      <w:rPr>
        <w:color w:val="FF4874"/>
      </w:rPr>
    </w:lvl>
    <w:lvl w:ilvl="1">
      <w:start w:val="1"/>
      <w:numFmt w:val="decimal"/>
      <w:pStyle w:val="Section-Level2"/>
      <w:lvlText w:val="%1.%2."/>
      <w:lvlJc w:val="left"/>
      <w:pPr>
        <w:ind w:left="858" w:hanging="432"/>
      </w:pPr>
      <w:rPr>
        <w:color w:val="44474A"/>
      </w:rPr>
    </w:lvl>
    <w:lvl w:ilvl="2">
      <w:start w:val="1"/>
      <w:numFmt w:val="decimal"/>
      <w:pStyle w:val="Section-Level3"/>
      <w:lvlText w:val="%1.%2.%3."/>
      <w:lvlJc w:val="left"/>
      <w:pPr>
        <w:ind w:left="1224" w:hanging="50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E120BE7"/>
    <w:multiLevelType w:val="hybridMultilevel"/>
    <w:tmpl w:val="B91E41B2"/>
    <w:lvl w:ilvl="0" w:tplc="7B90EA3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  <w:color w:val="000000" w:themeColor="text1"/>
      </w:rPr>
    </w:lvl>
    <w:lvl w:ilvl="1" w:tplc="7B90EA36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40AB2335"/>
    <w:multiLevelType w:val="hybridMultilevel"/>
    <w:tmpl w:val="B4C44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8C22A1"/>
    <w:multiLevelType w:val="multilevel"/>
    <w:tmpl w:val="7C621AEA"/>
    <w:numStyleLink w:val="Style1"/>
  </w:abstractNum>
  <w:abstractNum w:abstractNumId="22" w15:restartNumberingAfterBreak="0">
    <w:nsid w:val="43997540"/>
    <w:multiLevelType w:val="multilevel"/>
    <w:tmpl w:val="EFA88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01F06B5"/>
    <w:multiLevelType w:val="hybridMultilevel"/>
    <w:tmpl w:val="0B843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57A63EB"/>
    <w:multiLevelType w:val="hybridMultilevel"/>
    <w:tmpl w:val="E5EC4FAE"/>
    <w:lvl w:ilvl="0" w:tplc="F6CA4228">
      <w:start w:val="1"/>
      <w:numFmt w:val="bullet"/>
      <w:pStyle w:val="TSB-PolicyBullets"/>
      <w:lvlText w:val=""/>
      <w:lvlJc w:val="left"/>
      <w:pPr>
        <w:ind w:left="3512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272" w:hanging="360"/>
      </w:pPr>
      <w:rPr>
        <w:rFonts w:ascii="Wingdings" w:hAnsi="Wingdings" w:hint="default"/>
      </w:rPr>
    </w:lvl>
  </w:abstractNum>
  <w:abstractNum w:abstractNumId="26" w15:restartNumberingAfterBreak="0">
    <w:nsid w:val="56CF1D46"/>
    <w:multiLevelType w:val="hybridMultilevel"/>
    <w:tmpl w:val="B260B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1241FD"/>
    <w:multiLevelType w:val="multilevel"/>
    <w:tmpl w:val="79BA2F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9684118"/>
    <w:multiLevelType w:val="hybridMultilevel"/>
    <w:tmpl w:val="F976E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57147D"/>
    <w:multiLevelType w:val="hybridMultilevel"/>
    <w:tmpl w:val="64441534"/>
    <w:lvl w:ilvl="0" w:tplc="7B90EA36">
      <w:start w:val="1"/>
      <w:numFmt w:val="bullet"/>
      <w:lvlText w:val=""/>
      <w:lvlJc w:val="left"/>
      <w:pPr>
        <w:ind w:left="28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30" w15:restartNumberingAfterBreak="0">
    <w:nsid w:val="635D2AE8"/>
    <w:multiLevelType w:val="hybridMultilevel"/>
    <w:tmpl w:val="60FC4074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1" w15:restartNumberingAfterBreak="0">
    <w:nsid w:val="67131C65"/>
    <w:multiLevelType w:val="hybridMultilevel"/>
    <w:tmpl w:val="215C0A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860E41"/>
    <w:multiLevelType w:val="hybridMultilevel"/>
    <w:tmpl w:val="EC18EC8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B25C69"/>
    <w:multiLevelType w:val="hybridMultilevel"/>
    <w:tmpl w:val="16503CF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C6A6304"/>
    <w:multiLevelType w:val="multilevel"/>
    <w:tmpl w:val="A2E83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F29430B"/>
    <w:multiLevelType w:val="hybridMultilevel"/>
    <w:tmpl w:val="8F74C7A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6520A48"/>
    <w:multiLevelType w:val="multilevel"/>
    <w:tmpl w:val="21FE5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430521"/>
    <w:multiLevelType w:val="multilevel"/>
    <w:tmpl w:val="1F16DCBA"/>
    <w:lvl w:ilvl="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320" w:hanging="600"/>
      </w:pPr>
      <w:rPr>
        <w:rFonts w:asciiTheme="majorHAnsi" w:hAnsiTheme="majorHAnsi" w:cstheme="majorHAnsi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asciiTheme="majorHAnsi" w:hAnsiTheme="majorHAnsi" w:cstheme="majorHAnsi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asciiTheme="majorHAnsi" w:hAnsiTheme="majorHAnsi" w:cstheme="majorHAnsi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asciiTheme="majorHAnsi" w:hAnsiTheme="majorHAnsi" w:cstheme="majorHAnsi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asciiTheme="majorHAnsi" w:hAnsiTheme="majorHAnsi" w:cstheme="majorHAnsi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asciiTheme="majorHAnsi" w:hAnsiTheme="majorHAnsi" w:cstheme="majorHAnsi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asciiTheme="majorHAnsi" w:hAnsiTheme="majorHAnsi" w:cstheme="majorHAnsi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asciiTheme="majorHAnsi" w:hAnsiTheme="majorHAnsi" w:cstheme="majorHAnsi" w:hint="default"/>
        <w:sz w:val="24"/>
      </w:rPr>
    </w:lvl>
  </w:abstractNum>
  <w:abstractNum w:abstractNumId="39" w15:restartNumberingAfterBreak="0">
    <w:nsid w:val="7DC5378E"/>
    <w:multiLevelType w:val="hybridMultilevel"/>
    <w:tmpl w:val="1E6209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CA0A99"/>
    <w:multiLevelType w:val="multilevel"/>
    <w:tmpl w:val="93301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E316838"/>
    <w:multiLevelType w:val="hybridMultilevel"/>
    <w:tmpl w:val="04B4CD0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26"/>
  </w:num>
  <w:num w:numId="4">
    <w:abstractNumId w:val="14"/>
  </w:num>
  <w:num w:numId="5">
    <w:abstractNumId w:val="33"/>
  </w:num>
  <w:num w:numId="6">
    <w:abstractNumId w:val="27"/>
  </w:num>
  <w:num w:numId="7">
    <w:abstractNumId w:val="41"/>
  </w:num>
  <w:num w:numId="8">
    <w:abstractNumId w:val="3"/>
  </w:num>
  <w:num w:numId="9">
    <w:abstractNumId w:val="30"/>
  </w:num>
  <w:num w:numId="10">
    <w:abstractNumId w:val="32"/>
  </w:num>
  <w:num w:numId="11">
    <w:abstractNumId w:val="10"/>
  </w:num>
  <w:num w:numId="12">
    <w:abstractNumId w:val="8"/>
  </w:num>
  <w:num w:numId="13">
    <w:abstractNumId w:val="31"/>
  </w:num>
  <w:num w:numId="14">
    <w:abstractNumId w:val="20"/>
  </w:num>
  <w:num w:numId="15">
    <w:abstractNumId w:val="9"/>
  </w:num>
  <w:num w:numId="16">
    <w:abstractNumId w:val="23"/>
  </w:num>
  <w:num w:numId="17">
    <w:abstractNumId w:val="1"/>
  </w:num>
  <w:num w:numId="18">
    <w:abstractNumId w:val="39"/>
  </w:num>
  <w:num w:numId="19">
    <w:abstractNumId w:val="28"/>
  </w:num>
  <w:num w:numId="20">
    <w:abstractNumId w:val="15"/>
  </w:num>
  <w:num w:numId="21">
    <w:abstractNumId w:val="13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5"/>
  </w:num>
  <w:num w:numId="25">
    <w:abstractNumId w:val="24"/>
  </w:num>
  <w:num w:numId="26">
    <w:abstractNumId w:val="21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206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7">
    <w:abstractNumId w:val="0"/>
  </w:num>
  <w:num w:numId="28">
    <w:abstractNumId w:val="25"/>
  </w:num>
  <w:num w:numId="29">
    <w:abstractNumId w:val="21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1424" w:hanging="432"/>
        </w:pPr>
        <w:rPr>
          <w:rFonts w:asciiTheme="minorHAnsi" w:hAnsiTheme="minorHAnsi" w:hint="default"/>
          <w:color w:val="auto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0">
    <w:abstractNumId w:val="38"/>
  </w:num>
  <w:num w:numId="31">
    <w:abstractNumId w:val="36"/>
  </w:num>
  <w:num w:numId="32">
    <w:abstractNumId w:val="16"/>
  </w:num>
  <w:num w:numId="33">
    <w:abstractNumId w:val="29"/>
  </w:num>
  <w:num w:numId="34">
    <w:abstractNumId w:val="19"/>
  </w:num>
  <w:num w:numId="35">
    <w:abstractNumId w:val="12"/>
  </w:num>
  <w:num w:numId="36">
    <w:abstractNumId w:val="6"/>
  </w:num>
  <w:num w:numId="37">
    <w:abstractNumId w:val="22"/>
  </w:num>
  <w:num w:numId="38">
    <w:abstractNumId w:val="7"/>
  </w:num>
  <w:num w:numId="39">
    <w:abstractNumId w:val="34"/>
  </w:num>
  <w:num w:numId="40">
    <w:abstractNumId w:val="37"/>
  </w:num>
  <w:num w:numId="41">
    <w:abstractNumId w:val="5"/>
  </w:num>
  <w:num w:numId="42">
    <w:abstractNumId w:val="40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4BA449B9-EAB7-426E-B9F1-252353C6B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lang w:eastAsia="en-GB"/>
    </w:rPr>
  </w:style>
  <w:style w:type="paragraph" w:styleId="Heading10">
    <w:name w:val="heading 1"/>
    <w:aliases w:val="TSB Headings"/>
    <w:basedOn w:val="ListParagraph"/>
    <w:next w:val="Normal"/>
    <w:link w:val="Heading1Char"/>
    <w:uiPriority w:val="9"/>
    <w:qFormat/>
    <w:pPr>
      <w:numPr>
        <w:numId w:val="26"/>
      </w:numPr>
      <w:ind w:left="1077" w:hanging="720"/>
      <w:outlineLvl w:val="0"/>
    </w:pPr>
    <w:rPr>
      <w:rFonts w:asciiTheme="majorHAnsi" w:eastAsiaTheme="minorHAnsi" w:hAnsiTheme="majorHAnsi" w:cstheme="majorHAnsi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numPr>
        <w:ilvl w:val="1"/>
        <w:numId w:val="24"/>
      </w:numPr>
      <w:spacing w:after="120" w:line="240" w:lineRule="auto"/>
      <w:outlineLvl w:val="1"/>
    </w:pPr>
    <w:rPr>
      <w:rFonts w:asciiTheme="majorHAnsi" w:eastAsiaTheme="minorHAnsi" w:hAnsiTheme="majorHAnsi" w:cs="Arial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numPr>
        <w:ilvl w:val="2"/>
        <w:numId w:val="2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ilvl w:val="3"/>
        <w:numId w:val="2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numPr>
        <w:ilvl w:val="4"/>
        <w:numId w:val="24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numPr>
        <w:ilvl w:val="5"/>
        <w:numId w:val="2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numPr>
        <w:ilvl w:val="6"/>
        <w:numId w:val="2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numPr>
        <w:ilvl w:val="7"/>
        <w:numId w:val="2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numPr>
        <w:ilvl w:val="8"/>
        <w:numId w:val="2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pPr>
      <w:spacing w:after="0" w:line="240" w:lineRule="auto"/>
      <w:jc w:val="center"/>
    </w:pPr>
    <w:rPr>
      <w:rFonts w:ascii="Arial" w:eastAsia="Times" w:hAnsi="Arial" w:cs="Times New Roman"/>
      <w:b/>
      <w:sz w:val="32"/>
      <w:szCs w:val="20"/>
      <w:u w:val="single"/>
      <w:lang w:eastAsia="en-US"/>
    </w:rPr>
  </w:style>
  <w:style w:type="character" w:customStyle="1" w:styleId="SubtitleChar">
    <w:name w:val="Subtitle Char"/>
    <w:basedOn w:val="DefaultParagraphFont"/>
    <w:link w:val="Subtitle"/>
    <w:rPr>
      <w:rFonts w:ascii="Arial" w:eastAsia="Times" w:hAnsi="Arial" w:cs="Times New Roman"/>
      <w:b/>
      <w:sz w:val="32"/>
      <w:szCs w:val="20"/>
      <w:u w:val="single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Theme="minorEastAsia" w:hAnsi="Segoe UI" w:cs="Segoe UI"/>
      <w:sz w:val="18"/>
      <w:szCs w:val="18"/>
      <w:lang w:eastAsia="en-GB"/>
    </w:rPr>
  </w:style>
  <w:style w:type="paragraph" w:styleId="NoSpacing">
    <w:name w:val="No Spacing"/>
    <w:aliases w:val="TSB Body Text"/>
    <w:link w:val="NoSpacingChar"/>
    <w:uiPriority w:val="1"/>
    <w:qFormat/>
    <w:pPr>
      <w:spacing w:after="0" w:line="240" w:lineRule="auto"/>
    </w:pPr>
  </w:style>
  <w:style w:type="character" w:styleId="Hyperlink">
    <w:name w:val="Hyperlink"/>
    <w:rPr>
      <w:color w:val="0000FF"/>
      <w:u w:val="single"/>
    </w:rPr>
  </w:style>
  <w:style w:type="character" w:customStyle="1" w:styleId="SectionheadingChar">
    <w:name w:val="Section heading Char"/>
    <w:basedOn w:val="DefaultParagraphFont"/>
    <w:link w:val="Sectionheading"/>
    <w:uiPriority w:val="99"/>
    <w:locked/>
    <w:rPr>
      <w:rFonts w:ascii="Calibri" w:hAnsi="Calibri" w:cs="Calibri"/>
      <w:color w:val="FF4874"/>
      <w:sz w:val="28"/>
      <w:szCs w:val="28"/>
    </w:rPr>
  </w:style>
  <w:style w:type="paragraph" w:customStyle="1" w:styleId="Sectionheading">
    <w:name w:val="Section heading"/>
    <w:basedOn w:val="Normal"/>
    <w:link w:val="SectionheadingChar"/>
    <w:uiPriority w:val="99"/>
    <w:pPr>
      <w:keepNext/>
      <w:numPr>
        <w:numId w:val="22"/>
      </w:numPr>
      <w:spacing w:before="360" w:after="120"/>
      <w:ind w:left="567" w:hanging="567"/>
    </w:pPr>
    <w:rPr>
      <w:rFonts w:ascii="Calibri" w:eastAsiaTheme="minorHAnsi" w:hAnsi="Calibri" w:cs="Calibri"/>
      <w:color w:val="FF4874"/>
      <w:sz w:val="28"/>
      <w:szCs w:val="28"/>
      <w:lang w:eastAsia="en-US"/>
    </w:rPr>
  </w:style>
  <w:style w:type="character" w:customStyle="1" w:styleId="Section-Level2Char">
    <w:name w:val="Section - Level 2 Char"/>
    <w:basedOn w:val="DefaultParagraphFont"/>
    <w:link w:val="Section-Level2"/>
    <w:uiPriority w:val="99"/>
    <w:locked/>
    <w:rPr>
      <w:rFonts w:ascii="Calibri" w:hAnsi="Calibri" w:cs="Calibri"/>
      <w:color w:val="2F3033"/>
    </w:rPr>
  </w:style>
  <w:style w:type="paragraph" w:customStyle="1" w:styleId="Section-Level2">
    <w:name w:val="Section - Level 2"/>
    <w:basedOn w:val="Normal"/>
    <w:link w:val="Section-Level2Char"/>
    <w:uiPriority w:val="99"/>
    <w:pPr>
      <w:numPr>
        <w:ilvl w:val="1"/>
        <w:numId w:val="22"/>
      </w:numPr>
      <w:ind w:left="1418" w:hanging="811"/>
      <w:jc w:val="both"/>
    </w:pPr>
    <w:rPr>
      <w:rFonts w:ascii="Calibri" w:eastAsiaTheme="minorHAnsi" w:hAnsi="Calibri" w:cs="Calibri"/>
      <w:color w:val="2F3033"/>
      <w:lang w:eastAsia="en-US"/>
    </w:rPr>
  </w:style>
  <w:style w:type="paragraph" w:customStyle="1" w:styleId="Section-Level3">
    <w:name w:val="Section - Level 3"/>
    <w:basedOn w:val="Normal"/>
    <w:uiPriority w:val="99"/>
    <w:pPr>
      <w:numPr>
        <w:ilvl w:val="2"/>
        <w:numId w:val="22"/>
      </w:numPr>
      <w:ind w:left="2410" w:hanging="992"/>
      <w:jc w:val="both"/>
    </w:pPr>
    <w:rPr>
      <w:rFonts w:ascii="Calibri" w:eastAsiaTheme="minorHAnsi" w:hAnsi="Calibri" w:cs="Calibri"/>
      <w:color w:val="2F3033"/>
      <w:sz w:val="20"/>
      <w:szCs w:val="20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Pr>
      <w:rFonts w:asciiTheme="majorHAnsi" w:hAnsiTheme="majorHAnsi" w:cstheme="majorHAns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="Arial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</w:style>
  <w:style w:type="paragraph" w:styleId="List">
    <w:name w:val="List"/>
    <w:basedOn w:val="TSB-Level1Numbers"/>
    <w:uiPriority w:val="99"/>
    <w:unhideWhenUsed/>
    <w:qFormat/>
  </w:style>
  <w:style w:type="numbering" w:customStyle="1" w:styleId="Style1">
    <w:name w:val="Style1"/>
    <w:basedOn w:val="NoList"/>
    <w:uiPriority w:val="99"/>
    <w:pPr>
      <w:numPr>
        <w:numId w:val="25"/>
      </w:numPr>
    </w:pPr>
  </w:style>
  <w:style w:type="paragraph" w:customStyle="1" w:styleId="TSB-Level1Numbers">
    <w:name w:val="TSB - Level 1 Numbers"/>
    <w:basedOn w:val="Heading10"/>
    <w:link w:val="TSB-Level1NumbersChar"/>
    <w:qFormat/>
    <w:pPr>
      <w:numPr>
        <w:ilvl w:val="1"/>
      </w:numPr>
      <w:ind w:left="1423" w:hanging="432"/>
      <w:contextualSpacing w:val="0"/>
    </w:pPr>
    <w:rPr>
      <w:rFonts w:cstheme="minorHAnsi"/>
    </w:rPr>
  </w:style>
  <w:style w:type="paragraph" w:customStyle="1" w:styleId="Heading1">
    <w:name w:val="Heading1"/>
    <w:basedOn w:val="Normal"/>
    <w:next w:val="Normal"/>
    <w:pPr>
      <w:numPr>
        <w:numId w:val="27"/>
      </w:numPr>
      <w:spacing w:before="120" w:after="120" w:line="320" w:lineRule="exact"/>
    </w:pPr>
    <w:rPr>
      <w:rFonts w:ascii="Arial" w:eastAsiaTheme="minorHAnsi" w:hAnsi="Arial" w:cs="Arial"/>
      <w:b/>
      <w:color w:val="000000" w:themeColor="text1"/>
      <w:szCs w:val="28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660066"/>
      <w:u w:val="single"/>
    </w:rPr>
  </w:style>
  <w:style w:type="paragraph" w:customStyle="1" w:styleId="TSB-PolicyBullets">
    <w:name w:val="TSB - Policy Bullets"/>
    <w:basedOn w:val="ListParagraph"/>
    <w:link w:val="TSB-PolicyBulletsChar"/>
    <w:qFormat/>
    <w:pPr>
      <w:numPr>
        <w:numId w:val="28"/>
      </w:numPr>
      <w:spacing w:before="200"/>
    </w:pPr>
  </w:style>
  <w:style w:type="paragraph" w:customStyle="1" w:styleId="TSB-Level2Numbers">
    <w:name w:val="TSB - Level 2 Numbers"/>
    <w:basedOn w:val="TSB-Level1Numbers"/>
    <w:link w:val="TSB-Level2NumbersChar"/>
    <w:qFormat/>
    <w:pPr>
      <w:numPr>
        <w:ilvl w:val="2"/>
      </w:numPr>
      <w:ind w:left="2223" w:hanging="998"/>
    </w:pPr>
  </w:style>
  <w:style w:type="character" w:customStyle="1" w:styleId="ListParagraphChar">
    <w:name w:val="List Paragraph Char"/>
    <w:basedOn w:val="DefaultParagraphFont"/>
    <w:link w:val="ListParagraph"/>
    <w:uiPriority w:val="34"/>
    <w:rPr>
      <w:rFonts w:eastAsiaTheme="minorEastAsia"/>
      <w:lang w:eastAsia="en-GB"/>
    </w:rPr>
  </w:style>
  <w:style w:type="character" w:customStyle="1" w:styleId="TSB-PolicyBulletsChar">
    <w:name w:val="TSB - Policy Bullets Char"/>
    <w:basedOn w:val="ListParagraphChar"/>
    <w:link w:val="TSB-PolicyBullets"/>
    <w:rPr>
      <w:rFonts w:eastAsiaTheme="minorEastAsia"/>
      <w:lang w:eastAsia="en-GB"/>
    </w:rPr>
  </w:style>
  <w:style w:type="character" w:customStyle="1" w:styleId="TSB-Level1NumbersChar">
    <w:name w:val="TSB - Level 1 Numbers Char"/>
    <w:basedOn w:val="Heading1Char"/>
    <w:link w:val="TSB-Level1Numbers"/>
    <w:rPr>
      <w:rFonts w:asciiTheme="majorHAnsi" w:hAnsiTheme="majorHAnsi" w:cstheme="minorHAnsi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Pr>
      <w:rFonts w:asciiTheme="majorHAnsi" w:hAnsiTheme="majorHAnsi" w:cstheme="minorHAnsi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pPr>
      <w:spacing w:after="0" w:line="240" w:lineRule="auto"/>
    </w:pPr>
  </w:style>
  <w:style w:type="paragraph" w:customStyle="1" w:styleId="p39">
    <w:name w:val="p39"/>
    <w:basedOn w:val="Normal"/>
    <w:pPr>
      <w:spacing w:after="0" w:line="24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n-US"/>
    </w:rPr>
  </w:style>
  <w:style w:type="paragraph" w:customStyle="1" w:styleId="Noparagraphstyle">
    <w:name w:val="[No paragraph style]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8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L. Hunt</cp:lastModifiedBy>
  <cp:revision>2</cp:revision>
  <cp:lastPrinted>2019-11-15T11:34:00Z</cp:lastPrinted>
  <dcterms:created xsi:type="dcterms:W3CDTF">2025-09-17T12:55:00Z</dcterms:created>
  <dcterms:modified xsi:type="dcterms:W3CDTF">2025-09-17T12:55:00Z</dcterms:modified>
</cp:coreProperties>
</file>